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Percursos da sepse e choque séptico 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um hospital do oeste catarinense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podemos fazer diferente?</w:t>
      </w:r>
    </w:p>
    <w:p w:rsidR="00000000" w:rsidDel="00000000" w:rsidP="00000000" w:rsidRDefault="00000000" w:rsidRPr="00000000" w14:paraId="00000002">
      <w:pPr>
        <w:spacing w:after="22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Matheus Gonçalves Cavassin¹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Gabriela Gonçalves de Oliveira¹</w:t>
      </w:r>
    </w:p>
    <w:p w:rsidR="00000000" w:rsidDel="00000000" w:rsidP="00000000" w:rsidRDefault="00000000" w:rsidRPr="00000000" w14:paraId="00000003">
      <w:pPr>
        <w:spacing w:after="22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 Universidade Federal da Fronteira Sul - Chapecó (SC), Brasil.</w:t>
      </w:r>
    </w:p>
    <w:p w:rsidR="00000000" w:rsidDel="00000000" w:rsidP="00000000" w:rsidRDefault="00000000" w:rsidRPr="00000000" w14:paraId="00000004">
      <w:pPr>
        <w:spacing w:after="22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ogsh6jfmvi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respeito da gravidade e da problemática multifatorial acerca da sepse, além de seu manejo heterogêneo, os profissionais de Enfermagem podem ter conhecimento variável sobre o assunto e relatar dificuldades, no que concerne por exemplo, à implementação de protocolos ou diretrizes de tratamento baseados em evidências.  </w:t>
      </w:r>
    </w:p>
    <w:p w:rsidR="00000000" w:rsidDel="00000000" w:rsidP="00000000" w:rsidRDefault="00000000" w:rsidRPr="00000000" w14:paraId="00000006">
      <w:pPr>
        <w:spacing w:line="24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wy0915fmnpb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objetivos deste estudo são: avaliar a conduta clínica, manejo, conhecimento profissional e análise dos casos de sepse e choque séptico em um centro de referência antes e após a pandemia pela COVID-19.</w:t>
      </w:r>
    </w:p>
    <w:p w:rsidR="00000000" w:rsidDel="00000000" w:rsidP="00000000" w:rsidRDefault="00000000" w:rsidRPr="00000000" w14:paraId="00000007">
      <w:pPr>
        <w:spacing w:line="24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mjn8cyz0ub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Métodos: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 transversal retrospectivo-prospectivo, com participação de profissionais atuantes em uma unidade de terapia intensiva em um hospital de grande porte do oeste de Santa Catarina (n=50); e revisão de 300 casos de pacientes acometidos com sepse, aprovado em comitê de ética, a partir de 2020.</w:t>
      </w:r>
    </w:p>
    <w:p w:rsidR="00000000" w:rsidDel="00000000" w:rsidP="00000000" w:rsidRDefault="00000000" w:rsidRPr="00000000" w14:paraId="00000008">
      <w:pPr>
        <w:spacing w:line="24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kt5y9xyd6p1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 pacientes avaliados até o momento (n=112), observou-se prevalência entre o sexo masculino (n=66), com média de 56 anos (DP = 5,0). Observou-se que 93% (n=104) são brancos, com atividade laboral majoritariamente ligada à agricultura, 33% (n=37). O choque séptico foi prevalente, correspondendo a 53,6% (n=60) dos casos, seguido por sepse (45,% - n=51), e 1 caso (0,9%- n=1) de sepse não especificada. De 158 focos infecciosos, os mais prevalentes foram, o pulmonar (43% - n=68), abdominal (21% - n=33), cutâneo (14,5% - n=23) e geniturinário (6,3% - n=10),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&lt;0,05. Neste grupo populacional foram descritas 257 comorbidades, lideradas por hipertensão arterial sistêmica (19,1% - n=49), cardiopatias (13,6%, n=35), câncer (12,5% - n=32) e diabetes mellitus (11,7% - n=30),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&lt;0,0001. Dos protocolos e parâmetros conhecidos utilizou-se o Score de Mottling em 4,4% dos pacientes (n=5) e nenhum em 95,6% dos avaliados (n=107), no período de 2023 a 2025.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óbito foi observado em 101 pacientes (90,18%)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line="24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t8czgny4jfg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Evidencia-se um cenário preocupante onde verifica-se a necessidade premente de institucionalização de protocolos clínicos e condutas assistenciais que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uniformizem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atendimento profissional direcionado a um público que apresenta maior vulnerabilidade ao possível desfecho de óbito por sepse ou choque séptico.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0.7874015748032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AyDXmk0p31ZJbzuCfe8gGCA5Q==">CgMxLjAyDmgueW9nc2g2amZtdml5Mg5oLmR3eTA5MTVmbW5wYjIOaC42bWpuOGN5ejB1YjEyDmgubWt0NXk5eHlkNnAxMg5oLjZ0OGN6Z255NGpmZzgAciExSWl1OEVDb2xpdk9TOUphSjY0OEtxaVF5SWVDTEFveGk=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2025-04-04T12:14:00Z</dcterms:created>
  <dc:creator>Cliente</dc:creator>
</cp:coreProperties>
</file>