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3D89">
      <w:pPr>
        <w:bidi w:val="0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Título do resumo</w:t>
      </w:r>
      <w:bookmarkStart w:id="0" w:name="_GoBack"/>
      <w:bookmarkEnd w:id="0"/>
    </w:p>
    <w:p w14:paraId="07CDF57C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Implementação da Infusão Contínua de Piperacilina/Tazobactam em Pacientes com Sepse na Unidade de Terapia Intensiva: Relato de Experiência e Revisão dos Benefícios Clínicos</w:t>
      </w:r>
      <w:r>
        <w:rPr>
          <w:rFonts w:hint="default" w:ascii="Times New Roman" w:hAnsi="Times New Roman" w:cs="Times New Roman"/>
        </w:rPr>
        <w:br w:type="textWrapping"/>
      </w:r>
    </w:p>
    <w:p w14:paraId="222C5E0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64C549B5">
      <w:pP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Cristiane Costa Araujo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Alan Rodrigues da Silva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Bruno Pinheiro Aquino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Rakel Rocha Vasconcelos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pt-BR"/>
        </w:rPr>
        <w:t>Luciana Veras de Almeida</w:t>
      </w:r>
      <w:r>
        <w:rPr>
          <w:rFonts w:hint="default" w:ascii="Times New Roman" w:hAnsi="Times New Roman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Thais Lobo Hezer</w:t>
      </w:r>
      <w:r>
        <w:rPr>
          <w:rFonts w:hint="default" w:ascii="Times New Roman" w:hAnsi="Times New Roman"/>
          <w:sz w:val="24"/>
          <w:szCs w:val="24"/>
          <w:vertAlign w:val="superscript"/>
          <w:lang w:val="pt-BR"/>
        </w:rPr>
        <w:t>4</w:t>
      </w:r>
      <w:r>
        <w:rPr>
          <w:rFonts w:hint="default" w:ascii="Times New Roman" w:hAnsi="Times New Roman"/>
          <w:sz w:val="24"/>
          <w:szCs w:val="24"/>
          <w:lang w:val="pt-BR"/>
        </w:rPr>
        <w:t>.</w:t>
      </w:r>
    </w:p>
    <w:p w14:paraId="4CC43F36">
      <w:pPr>
        <w:bidi w:val="0"/>
        <w:jc w:val="left"/>
        <w:rPr>
          <w:rFonts w:hint="default" w:ascii="Times New Roman" w:hAnsi="Times New Roman" w:cs="Times New Roman"/>
        </w:rPr>
      </w:pPr>
    </w:p>
    <w:p w14:paraId="350C92E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Afiliações</w:t>
      </w:r>
    </w:p>
    <w:p w14:paraId="0D80998D"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1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Serviço de Controle de Infecção Hospitalar - Hospital Geral Dr. Waldemar Alcântara,Ceará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 Serviço de Farmácia Hospitalar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3 Unidade de Terapia Intensiva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. 4 Direção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Hospital Geral Dr. Waldemar Alcântara ,Ceará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), Brasil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.</w:t>
      </w:r>
    </w:p>
    <w:p w14:paraId="26AABFD5">
      <w:pPr>
        <w:bidi w:val="0"/>
        <w:jc w:val="left"/>
        <w:rPr>
          <w:rFonts w:hint="default" w:ascii="Times New Roman" w:hAnsi="Times New Roman" w:cs="Times New Roman"/>
        </w:rPr>
      </w:pPr>
    </w:p>
    <w:p w14:paraId="4CBC256E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Introdução/Antecedentes</w:t>
      </w:r>
    </w:p>
    <w:p w14:paraId="3195B580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 sepse é uma condição grave que exige intervenções terapêuticas rápidas e eficazes. Antimicrobianos β-lactâmicos, como a piperacilina/tazobactam, são amplamente utilizados no tratamento empírico desses pacientes. A infusão contínua desses agentes, ao invés da administração intermitente tradicional, visa manter concentrações plasmáticas sustentadas acima da concentração inibitória mínima (MIC), otimizando sua eficácia. Diretrizes internacionais, como a Surviving Sepsis Campaign, já recomendam o uso de infusões prolongadas em pacientes com sepse e choque séptico, associando essa prática à melhora de desfechos clínicos.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Objetivos</w:t>
      </w:r>
    </w:p>
    <w:p w14:paraId="4DE798DA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Relatar a implementação da infusão contínua de piperacilina/tazobactam como estratégia terapêutica em pacientes críticos com sepse, destacando seus benefícios com base na literatura e experiência prática inicial.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Métodos</w:t>
      </w:r>
    </w:p>
    <w:p w14:paraId="63CF7590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Trata-se de um projeto de implementação clínica com enfoque na padronização da infusão contínua de antimicrobianos em pacientes que abrem protocolo de sepse em uma Unidade de Terapia Intensiva. O estudo foi realizado em um hospital secundário de referência no município de Fortaleza/CE. Foi conduzido um teste de viabilidade da infusão contínua de piperacilina/tazobactam (BIC) em um paciente crítico, utilizando bomba de infusão contínua, com acompanhamento multiprofissional. A análise foi complementada com revisão da literatura científica recente sobre a temática.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Resultados</w:t>
      </w:r>
    </w:p>
    <w:p w14:paraId="6CAADE56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 literatura indica que a infusão contínua está associada a taxas de cura clínica mais altas, melhor alcance dos alvos farmacocinéticos e, potencialmente, melhor controle da infecção. O estudo BLING III, embora não tenha evidenciado diferença significativa em mortalidade em 90 dias, demonstrou maior taxa de cura clínica com a infusão contínua. A monitorização terapêutica de medicamentos (TDM) também é facilitada com essa abordagem, possibilitando ajustes mais precisos de dose, especialmente em pacientes com alterações farmacocinéticas.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Conclusão</w:t>
      </w:r>
    </w:p>
    <w:p w14:paraId="2D2797A7">
      <w:pPr>
        <w:bidi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 infusão contínua de piperacilina/tazobactam mostrou-se viável em ambiente de UTI e representa uma estratégia promissora dentro dos protocolos de sepse. Sua implementação pode contribuir para melhores desfechos clínicos, especialmente quando associada à TDM e à atuação de uma equipe multiprofissional capacitada.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Referências (opcional)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Rhodes A, et al. Surviving Sepsis Campaign: Guidelines. Intensive Care Med. 2017.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Lipman J, et al. BLING III study. JAMA. 2023.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Abdul-Aziz MH, et al. Lancet Infect Dis. 2020.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Roberts JA, et al. Clin Pharmacokinet. 2012.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</w:p>
    <w:sectPr>
      <w:pgSz w:w="11906" w:h="16838"/>
      <w:pgMar w:top="1134" w:right="306" w:bottom="1134" w:left="717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entium Book Basic">
    <w:panose1 w:val="02000503060000020004"/>
    <w:charset w:val="00"/>
    <w:family w:val="auto"/>
    <w:pitch w:val="default"/>
    <w:sig w:usb0="A000007F" w:usb1="5000204A" w:usb2="00000000" w:usb3="00000000" w:csb0="20000013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09"/>
  <w:autoHyphenation/>
  <w:compat>
    <w:compatSetting w:name="compatibilityMode" w:uri="http://schemas.microsoft.com/office/word" w:val="15"/>
  </w:compat>
  <w:rsids>
    <w:rsidRoot w:val="226B68B1"/>
    <w:rsid w:val="226B68B1"/>
    <w:rsid w:val="4BFB7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7">
    <w:name w:val="Ênfase forte"/>
    <w:qFormat/>
    <w:uiPriority w:val="0"/>
    <w:rPr>
      <w:b/>
      <w:bCs/>
    </w:rPr>
  </w:style>
  <w:style w:type="character" w:customStyle="1" w:styleId="8">
    <w:name w:val="Símbolos de numeração"/>
    <w:qFormat/>
    <w:uiPriority w:val="0"/>
  </w:style>
  <w:style w:type="character" w:customStyle="1" w:styleId="9">
    <w:name w:val="Ênfase1"/>
    <w:qFormat/>
    <w:uiPriority w:val="0"/>
    <w:rPr>
      <w:i/>
      <w:iCs/>
    </w:rPr>
  </w:style>
  <w:style w:type="paragraph" w:customStyle="1" w:styleId="10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ane.cca\Downloads\RESUMO%202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RESUMO 2 (1).dotx</Template>
  <Pages>2</Pages>
  <Words>374</Words>
  <Characters>2387</Characters>
  <Paragraphs>7</Paragraphs>
  <TotalTime>9</TotalTime>
  <ScaleCrop>false</ScaleCrop>
  <LinksUpToDate>false</LinksUpToDate>
  <CharactersWithSpaces>2744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2025-04-14T14:40:00Z</dcterms:created>
  <dc:creator>cristiane.cca</dc:creator>
  <cp:lastModifiedBy>cristiane.cca</cp:lastModifiedBy>
  <dcterms:modified xsi:type="dcterms:W3CDTF">2025-04-14T16:37:17Z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567C822EFB3D44F19B42534B17CA0533_11</vt:lpwstr>
  </property>
  <property fmtid="{D5CDD505-2E9C-101B-9397-08002B2CF9AE}" pid="3" name="KSOProductBuildVer">
    <vt:lpwstr>1046-12.2.0.20326</vt:lpwstr>
  </property>
</Properties>
</file>