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Título: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Auditoria diária e o seu impacto no uso racional de antimicrobianos em cinco UTIs adulto: Um estudo observacional.</w:t>
      </w:r>
    </w:p>
    <w:p w:rsidR="00000000" w:rsidDel="00000000" w:rsidP="00000000" w:rsidRDefault="00000000" w:rsidRPr="00000000" w14:paraId="00000002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Autores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u w:val="single"/>
          <w:rtl w:val="0"/>
        </w:rPr>
        <w:t xml:space="preserve">Joama Marques Lobo Quariguasi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, Paula de Carvalho Bacelar, Vitória Gonçalves Alves de Oliveira, 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Luis Carlos Machado e Silva, Paulo Henrique Silva Bezerra, Manuela Sousa Silva, Gabriel Henrique Lima Barreto do Nascimento,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Rodrigo Palacio Azevedo.</w:t>
      </w:r>
    </w:p>
    <w:p w:rsidR="00000000" w:rsidDel="00000000" w:rsidP="00000000" w:rsidRDefault="00000000" w:rsidRPr="00000000" w14:paraId="00000004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Afiliação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: Unidade de Terapia Intensiva, Hospital São Domingos - HSD - São Luís (MA), Brasil</w:t>
      </w:r>
    </w:p>
    <w:p w:rsidR="00000000" w:rsidDel="00000000" w:rsidP="00000000" w:rsidRDefault="00000000" w:rsidRPr="00000000" w14:paraId="00000006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Introdução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: A quantificação do uso de antimicrobianos é interpretada como indicador de qualidade dos serviços de saúde, tendo destaque entre eles os dias de terapia (DOT). Estratégias de </w:t>
      </w:r>
      <w:r w:rsidDel="00000000" w:rsidR="00000000" w:rsidRPr="00000000">
        <w:rPr>
          <w:rFonts w:ascii="Roboto" w:cs="Roboto" w:eastAsia="Roboto" w:hAnsi="Roboto"/>
          <w:i w:val="1"/>
          <w:color w:val="202124"/>
          <w:sz w:val="24"/>
          <w:szCs w:val="24"/>
          <w:highlight w:val="white"/>
          <w:rtl w:val="0"/>
        </w:rPr>
        <w:t xml:space="preserve">Stewardship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promovem o monitoramento do uso de antimicrobianos, preservando sua eficácia futura e direcionando tratamentos empíricos de forma assertiva.</w:t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Objetivos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: O estudo tem como objetivo descrever o impacto de uma auditoria diária prospectiva realizada por um time de</w:t>
      </w:r>
      <w:r w:rsidDel="00000000" w:rsidR="00000000" w:rsidRPr="00000000">
        <w:rPr>
          <w:rFonts w:ascii="Roboto" w:cs="Roboto" w:eastAsia="Roboto" w:hAnsi="Roboto"/>
          <w:i w:val="1"/>
          <w:color w:val="202124"/>
          <w:sz w:val="24"/>
          <w:szCs w:val="24"/>
          <w:highlight w:val="white"/>
          <w:rtl w:val="0"/>
        </w:rPr>
        <w:t xml:space="preserve"> Stewardship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no volume do uso de antibióticos avaliados através da medida do DOT. </w:t>
      </w:r>
    </w:p>
    <w:p w:rsidR="00000000" w:rsidDel="00000000" w:rsidP="00000000" w:rsidRDefault="00000000" w:rsidRPr="00000000" w14:paraId="0000000A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Métodos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: Estudo analítico, descritivo, retrospectivo e observacional. A pesquisa foi realizada em cinco UTIs adulto, contando com 53 leitos, de um hospital terciário particular. O período analisado foi entre janeiro de 2023 a março de 2025, sendo a intervenção aplicada desde maio de 2023 até abril de 2024. A intervenção aplicada, chamada </w:t>
      </w:r>
      <w:r w:rsidDel="00000000" w:rsidR="00000000" w:rsidRPr="00000000">
        <w:rPr>
          <w:rFonts w:ascii="Roboto" w:cs="Roboto" w:eastAsia="Roboto" w:hAnsi="Roboto"/>
          <w:i w:val="1"/>
          <w:color w:val="202124"/>
          <w:sz w:val="24"/>
          <w:szCs w:val="24"/>
          <w:highlight w:val="white"/>
          <w:rtl w:val="0"/>
        </w:rPr>
        <w:t xml:space="preserve">Creating Antibiotic Review Excellence in the ICU Setting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(CARES) consiste na abordagem sistematizada dos médicos prescritores durante os rounds diários realizados nas UTIs, com ênfase na duração da terapia antimicrobiana e no seu descalonamento. </w:t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Resultados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: Identificamos através da análise do DOT três períodos distintos: um entre janeiro e abril de 2023, onde houve tendência de elevação (janeiro 1562; fevereiro 1596; março 1.664); um segundo período após a instituição do CARES, com queda progressiva de até 39,8%; e o terceiro período onde a aplicação do CARES foi interrompida e houve tendência marcante de ascensão do DOT. </w:t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highlight w:val="white"/>
          <w:rtl w:val="0"/>
        </w:rPr>
        <w:t xml:space="preserve">Conclusão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: Foi possível evidenciar o impacto do CARES no volume de antibióticos prescritos nas UTIs medidos através do DOT. Tal conclusão fortalece a ideia de que o monitoramento adequado destes dados e a racionalização da terapia em conformidade têm expressivo impacto nos indicadores de qualidade do serviço.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