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Análise do perfil microbiológico das infecções primárias de corrente sanguínea em uma Unidade de Terapia intensiva Clínica Adulto do Hospital Municipal de Natal.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bookmarkStart w:colFirst="0" w:colLast="0" w:name="_dog9784muqd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Autores: </w:t>
      </w:r>
      <w:r w:rsidDel="00000000" w:rsidR="00000000" w:rsidRPr="00000000">
        <w:rPr>
          <w:b w:val="1"/>
          <w:u w:val="single"/>
          <w:rtl w:val="0"/>
        </w:rPr>
        <w:t xml:space="preserve">Manoel Crizanto das Neves Neto ¹</w:t>
      </w:r>
      <w:r w:rsidDel="00000000" w:rsidR="00000000" w:rsidRPr="00000000">
        <w:rPr>
          <w:b w:val="1"/>
          <w:rtl w:val="0"/>
        </w:rPr>
        <w:t xml:space="preserve">. Francisco Daniel Gomes de Lima Filho ¹. Yago Abrantes Cavalcante ¹. Thiago Costa de Araújo Dantas ¹.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Unidade de Terapia Intensiva, Hospital Municipal de Natal - Natal (RN), Brasil ¹.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Objetivo: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Analisar as características epidemiológicas e o perfil de resistência antimicrobiana dos microrganismos envolvidos em Infecções Primárias da Corrente Sanguínea (IPCS) em pacientes admitidos na Unidade de Terapia Intensiva Adulto, no período de janeiro de 2020 a dezembro de 2024, com o propósito de identificar grupos de risco e subsidiar estratégias de prevenção, visando à redução de desfechos clínicos adversos e à racionalização do uso de agentes antimicrobianos.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Métodos: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Estudo transversal retrospectivo, baseado na revisão dos registros de IPCS e na análise do perfil microbiológico dos patógenos isolados em hemoculturas provenientes da Unidade de Terapia Intensiva Adulto, no intervalo de tempo compreendido entre janeiro de 2020 e dezembro de 2024.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Resultados: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período avaliado, foram registrados 109 casos de IPCS na Unidade de Terapia Intensiva Adulto. Dentre esses, 67% apresentaram associação com o uso de cateter venoso central. O patógeno mais frequentemente isolado foi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Pseudomonas aeruginosa,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cuja sensibilidade à amicacina foi de 68%, já as taxas de resistência observadas foram de 68% para ceftazidima, 56% para piperacilina-tazobactam, 73% para cefepime e 47% para meropenem. Outro patógeno de significativa importância foi 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Acinetobacter baumannii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 quais os dados revelaram resistência de 84% a meropenem, 82% a amicacina, além de 67% de resistência à gentamicina nas amostras analisadas. Também notou-se significativa taxa de IPCS relacionadas ao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Enterococcus faecalis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perfil de sensibilidade a vancomicina de 84%.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conhecimento do perfil de resistência antimicrobiana e de sua distribuição no contexto da unidade de terapia intensiva possibilita o direcionamento de ações preventivas mais eficazes, como a adoção de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bundles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voltados à inserção e manutenção de cateteres, bem como a promoção da qualificação da assistência prestada pela equipe multiprofissional.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