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Título: </w:t>
      </w:r>
      <w:r w:rsidDel="00000000" w:rsidR="00000000" w:rsidRPr="00000000">
        <w:rPr>
          <w:sz w:val="28"/>
          <w:szCs w:val="28"/>
          <w:rtl w:val="0"/>
        </w:rPr>
        <w:t xml:space="preserve">Perfil microbiológico de episódios sépticos </w:t>
      </w:r>
      <w:r w:rsidDel="00000000" w:rsidR="00000000" w:rsidRPr="00000000">
        <w:rPr>
          <w:sz w:val="28"/>
          <w:szCs w:val="28"/>
          <w:rtl w:val="0"/>
        </w:rPr>
        <w:t xml:space="preserve">em transplantados de medula óssea de um hospital terciário. 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Autores:</w:t>
      </w:r>
      <w:r w:rsidDel="00000000" w:rsidR="00000000" w:rsidRPr="00000000">
        <w:rPr>
          <w:sz w:val="28"/>
          <w:szCs w:val="28"/>
          <w:rtl w:val="0"/>
        </w:rPr>
        <w:t xml:space="preserve"> Matheus da Silva Raetano¹, Kawa Maicky Aguiar Rodrigues¹, Melissa Maia Braz¹, Cassia Fernanda Estofolete¹, Irineu Luiz Maia¹.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Afiliação:</w:t>
      </w:r>
      <w:r w:rsidDel="00000000" w:rsidR="00000000" w:rsidRPr="00000000">
        <w:rPr>
          <w:sz w:val="28"/>
          <w:szCs w:val="28"/>
          <w:rtl w:val="0"/>
        </w:rPr>
        <w:t xml:space="preserve"> ¹Faculdade de Medicina de Rio Preto – FAMERP – São José do Rio Preto (SP), Brasil.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Introdução</w:t>
        <w:br w:type="textWrapping"/>
        <w:tab/>
      </w:r>
      <w:r w:rsidDel="00000000" w:rsidR="00000000" w:rsidRPr="00000000">
        <w:rPr>
          <w:sz w:val="28"/>
          <w:szCs w:val="28"/>
          <w:rtl w:val="0"/>
        </w:rPr>
        <w:t xml:space="preserve">A sepse é uma das principais complicações infecciosas em pacientes submetidos ao transplante de medula óssea (TMO). Dentre os microrganismos isolados, embora ocorra predomínio de bactérias Gram-positivas, observa-se aumento progressivo de Gram-negativas, muitas vezes multirresistentes, o que torna o manejo clínico mais desafiador. Portanto, conhecer o perfil microbiológico e de resistência local é essencial para definição terapêutica e melhores desfechos.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Objetivos</w:t>
        <w:br w:type="textWrapping"/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Identificar o perfil de patógenos relacionados à sepse em pacientes pós-TMO.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Métodos</w:t>
        <w:br w:type="textWrapping"/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Trata-se de um estudo observacional retrospectivo com revisão de 167 prontuários de pacientes internados no serviço de TMO entre janeiro e dezembro de 2024.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Resultados</w:t>
        <w:br w:type="textWrapping"/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Dentre as 167 internações no período, foram identificados 42 casos de sepse (25%) pelo escore</w:t>
      </w:r>
      <w:r w:rsidDel="00000000" w:rsidR="00000000" w:rsidRPr="00000000">
        <w:rPr>
          <w:i w:val="1"/>
          <w:sz w:val="28"/>
          <w:szCs w:val="28"/>
          <w:rtl w:val="0"/>
        </w:rPr>
        <w:t xml:space="preserve"> Sequential Organ Failure Assessment</w:t>
      </w:r>
      <w:r w:rsidDel="00000000" w:rsidR="00000000" w:rsidRPr="00000000">
        <w:rPr>
          <w:sz w:val="28"/>
          <w:szCs w:val="28"/>
          <w:rtl w:val="0"/>
        </w:rPr>
        <w:t xml:space="preserve"> (SOFA) em 34 pacientes diferentes, prevalecendo o sexo masculino (28 / 67%), com idade média de 40.9 anos (15 a 67 anos). Do total de pacientes com quadro de sepse, a grande maioria tratava-se de transplante alogênico (90%). A neutropenia febril foi o principal fator de risco identificado em 31 casos (73%). Dezoito (43%) apresentaram positividade de pelo menos uma hemocultura, com 14 resultados pertencentes a bactérias Gram-negativas (78%). Das demais, 2 foram por bactérias Gram-positivas (</w:t>
      </w:r>
      <w:r w:rsidDel="00000000" w:rsidR="00000000" w:rsidRPr="00000000">
        <w:rPr>
          <w:i w:val="1"/>
          <w:sz w:val="28"/>
          <w:szCs w:val="28"/>
          <w:rtl w:val="0"/>
        </w:rPr>
        <w:t xml:space="preserve">Staphylococcus epidermidis e Streptococcus mitis)</w:t>
      </w:r>
      <w:r w:rsidDel="00000000" w:rsidR="00000000" w:rsidRPr="00000000">
        <w:rPr>
          <w:sz w:val="28"/>
          <w:szCs w:val="28"/>
          <w:rtl w:val="0"/>
        </w:rPr>
        <w:t xml:space="preserve"> e outras 2 fúngicas (</w:t>
      </w:r>
      <w:r w:rsidDel="00000000" w:rsidR="00000000" w:rsidRPr="00000000">
        <w:rPr>
          <w:i w:val="1"/>
          <w:sz w:val="28"/>
          <w:szCs w:val="28"/>
          <w:rtl w:val="0"/>
        </w:rPr>
        <w:t xml:space="preserve">Candida krusei e Saccharomyces cerevisiae</w:t>
      </w:r>
      <w:r w:rsidDel="00000000" w:rsidR="00000000" w:rsidRPr="00000000">
        <w:rPr>
          <w:sz w:val="28"/>
          <w:szCs w:val="28"/>
          <w:rtl w:val="0"/>
        </w:rPr>
        <w:t xml:space="preserve">). Apenas um dos casos foi polimicrobiano com duas bactérias Gram-negativas detectadas. A espécie mais identificada foi a </w:t>
      </w:r>
      <w:r w:rsidDel="00000000" w:rsidR="00000000" w:rsidRPr="00000000">
        <w:rPr>
          <w:i w:val="1"/>
          <w:sz w:val="28"/>
          <w:szCs w:val="28"/>
          <w:rtl w:val="0"/>
        </w:rPr>
        <w:t xml:space="preserve">Escherichia coli</w:t>
      </w:r>
      <w:r w:rsidDel="00000000" w:rsidR="00000000" w:rsidRPr="00000000">
        <w:rPr>
          <w:sz w:val="28"/>
          <w:szCs w:val="28"/>
          <w:rtl w:val="0"/>
        </w:rPr>
        <w:t xml:space="preserve">, responsável por nove casos (50%).  Dentre o perfil de sensibilidade antimicrobiana, houve identificação do </w:t>
      </w:r>
      <w:r w:rsidDel="00000000" w:rsidR="00000000" w:rsidRPr="00000000">
        <w:rPr>
          <w:i w:val="1"/>
          <w:sz w:val="28"/>
          <w:szCs w:val="28"/>
          <w:rtl w:val="0"/>
        </w:rPr>
        <w:t xml:space="preserve">S. epidermidis </w:t>
      </w:r>
      <w:r w:rsidDel="00000000" w:rsidR="00000000" w:rsidRPr="00000000">
        <w:rPr>
          <w:sz w:val="28"/>
          <w:szCs w:val="28"/>
          <w:rtl w:val="0"/>
        </w:rPr>
        <w:t xml:space="preserve">como </w:t>
      </w:r>
      <w:r w:rsidDel="00000000" w:rsidR="00000000" w:rsidRPr="00000000">
        <w:rPr>
          <w:sz w:val="28"/>
          <w:szCs w:val="28"/>
          <w:rtl w:val="0"/>
        </w:rPr>
        <w:t xml:space="preserve">resistente à meticilina, de 3 cepas produtoras de beta-lactamase de espectro estendido (ESBL) e 4 produtoras de Carbapenemases.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Conclusão</w:t>
        <w:br w:type="textWrapping"/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Os resultados ressaltam a alta incidência de sepse em pacientes submetidos ao TMO, especialmente entre aqueles com neutropenia febril. Embora as BGP ainda sejam predominantes em muitos estudos, neste observou-se maior incidência de BGN. Essa evidência levanta a reflexão quanto a adoção de medidas para reduzir a translocação bacteriana, possível causa para o resultado encontrado. Além disso, a resistência observada servirá para revisar protocolos antimicrobianos do serviço.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