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64D" w:rsidRPr="00A2464D" w:rsidRDefault="00A2464D" w:rsidP="00A2464D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A2464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Michele Moraes Pinto, Mirian de Freitas dal Ben Corradi, Talia Falcão </w:t>
      </w:r>
      <w:proofErr w:type="spellStart"/>
      <w:r w:rsidRPr="00A2464D">
        <w:rPr>
          <w:rFonts w:eastAsia="Times New Roman" w:cstheme="minorHAnsi"/>
          <w:color w:val="000000"/>
          <w:sz w:val="24"/>
          <w:szCs w:val="24"/>
          <w:lang w:eastAsia="pt-BR"/>
        </w:rPr>
        <w:t>Dalçóquio</w:t>
      </w:r>
      <w:proofErr w:type="spellEnd"/>
      <w:r w:rsidRPr="00A2464D">
        <w:rPr>
          <w:rFonts w:eastAsia="Times New Roman" w:cstheme="minorHAnsi"/>
          <w:color w:val="000000"/>
          <w:sz w:val="24"/>
          <w:szCs w:val="24"/>
          <w:lang w:eastAsia="pt-BR"/>
        </w:rPr>
        <w:t>, Luis Fernando Penna, Silvia Aparecida Ferreira, Teresa Cristina Dias Cunha Nascimento</w:t>
      </w:r>
    </w:p>
    <w:p w:rsidR="00A2464D" w:rsidRPr="00A2464D" w:rsidRDefault="00A2464D" w:rsidP="00A2464D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A2464D" w:rsidRPr="00A2464D" w:rsidRDefault="00A2464D" w:rsidP="00A2464D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A2464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Adesão ao pacote de primeira hora no protocolo sepse: melhora o resultado? Dados de um hospital privado</w:t>
      </w:r>
    </w:p>
    <w:p w:rsidR="00A2464D" w:rsidRPr="00A2464D" w:rsidRDefault="00A2464D" w:rsidP="00A24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464D" w:rsidRPr="00A2464D" w:rsidRDefault="00A2464D" w:rsidP="00A24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464D">
        <w:rPr>
          <w:rFonts w:ascii="Calibri" w:eastAsia="Times New Roman" w:hAnsi="Calibri" w:cs="Calibri"/>
          <w:b/>
          <w:bCs/>
          <w:color w:val="000000"/>
          <w:lang w:eastAsia="pt-BR"/>
        </w:rPr>
        <w:t>Introdução</w:t>
      </w:r>
    </w:p>
    <w:p w:rsidR="00A2464D" w:rsidRPr="00A2464D" w:rsidRDefault="00A2464D" w:rsidP="00A246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464D">
        <w:rPr>
          <w:rFonts w:ascii="Calibri" w:eastAsia="Times New Roman" w:hAnsi="Calibri" w:cs="Calibri"/>
          <w:color w:val="000000"/>
          <w:lang w:eastAsia="pt-BR"/>
        </w:rPr>
        <w:t xml:space="preserve">A sepse é responsável pela morte de milhões de pessoas no mundo. O reconhecimento precoce e tomada rápida de ações, por meio de protocolos, permite acompanhar processos e fazer ações com impacto nos resultados. O pacote de primeira hora (antimicrobiano </w:t>
      </w:r>
      <w:proofErr w:type="gramStart"/>
      <w:r w:rsidRPr="00A2464D">
        <w:rPr>
          <w:rFonts w:ascii="Calibri" w:eastAsia="Times New Roman" w:hAnsi="Calibri" w:cs="Calibri"/>
          <w:color w:val="000000"/>
          <w:lang w:eastAsia="pt-BR"/>
        </w:rPr>
        <w:t>+</w:t>
      </w:r>
      <w:proofErr w:type="gramEnd"/>
      <w:r w:rsidRPr="00A2464D">
        <w:rPr>
          <w:rFonts w:ascii="Calibri" w:eastAsia="Times New Roman" w:hAnsi="Calibri" w:cs="Calibri"/>
          <w:color w:val="000000"/>
          <w:lang w:eastAsia="pt-BR"/>
        </w:rPr>
        <w:t xml:space="preserve"> hemocultura e lactato + expansão volêmica quando necessária) é essencial. A partir de janeiro/2023 a taxa de conformidade do pacote passou a ser meta compartilhada com a equipe multiprofissional.</w:t>
      </w:r>
    </w:p>
    <w:p w:rsidR="00A2464D" w:rsidRPr="00A2464D" w:rsidRDefault="00A2464D" w:rsidP="00A246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464D">
        <w:rPr>
          <w:rFonts w:ascii="Calibri" w:eastAsia="Times New Roman" w:hAnsi="Calibri" w:cs="Calibri"/>
          <w:b/>
          <w:bCs/>
          <w:color w:val="000000"/>
          <w:lang w:eastAsia="pt-BR"/>
        </w:rPr>
        <w:t>Objetivos</w:t>
      </w:r>
    </w:p>
    <w:p w:rsidR="00A2464D" w:rsidRPr="00A2464D" w:rsidRDefault="00A2464D" w:rsidP="00A246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2464D">
        <w:rPr>
          <w:rFonts w:ascii="Calibri" w:eastAsia="Times New Roman" w:hAnsi="Calibri" w:cs="Calibri"/>
          <w:color w:val="000000"/>
          <w:lang w:eastAsia="pt-BR"/>
        </w:rPr>
        <w:t>Avaliar  o</w:t>
      </w:r>
      <w:proofErr w:type="gramEnd"/>
      <w:r w:rsidRPr="00A2464D">
        <w:rPr>
          <w:rFonts w:ascii="Calibri" w:eastAsia="Times New Roman" w:hAnsi="Calibri" w:cs="Calibri"/>
          <w:color w:val="000000"/>
          <w:lang w:eastAsia="pt-BR"/>
        </w:rPr>
        <w:t xml:space="preserve"> impacto da adesão ao pacote de sepse na mortalidade intrahospitalar.</w:t>
      </w:r>
    </w:p>
    <w:p w:rsidR="00A2464D" w:rsidRPr="00A2464D" w:rsidRDefault="00A2464D" w:rsidP="00A24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464D">
        <w:rPr>
          <w:rFonts w:ascii="Calibri" w:eastAsia="Times New Roman" w:hAnsi="Calibri" w:cs="Calibri"/>
          <w:b/>
          <w:bCs/>
          <w:color w:val="000000"/>
          <w:lang w:eastAsia="pt-BR"/>
        </w:rPr>
        <w:t>Métodos</w:t>
      </w:r>
    </w:p>
    <w:p w:rsidR="00A2464D" w:rsidRPr="00A2464D" w:rsidRDefault="00A2464D" w:rsidP="00A24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464D">
        <w:rPr>
          <w:rFonts w:ascii="Calibri" w:eastAsia="Times New Roman" w:hAnsi="Calibri" w:cs="Calibri"/>
          <w:color w:val="000000"/>
          <w:lang w:eastAsia="pt-BR"/>
        </w:rPr>
        <w:t xml:space="preserve">Análise retrospectiva dos dados de protocolo sepse em um hospital privado em São Paulo com saídas hospitalares entre janeiro/2021 a dezembro/2024, dividido em dois grupos, </w:t>
      </w:r>
      <w:proofErr w:type="spellStart"/>
      <w:r w:rsidRPr="00A2464D">
        <w:rPr>
          <w:rFonts w:ascii="Calibri" w:eastAsia="Times New Roman" w:hAnsi="Calibri" w:cs="Calibri"/>
          <w:color w:val="000000"/>
          <w:lang w:eastAsia="pt-BR"/>
        </w:rPr>
        <w:t>pré</w:t>
      </w:r>
      <w:proofErr w:type="spellEnd"/>
      <w:r w:rsidRPr="00A2464D">
        <w:rPr>
          <w:rFonts w:ascii="Calibri" w:eastAsia="Times New Roman" w:hAnsi="Calibri" w:cs="Calibri"/>
          <w:color w:val="000000"/>
          <w:lang w:eastAsia="pt-BR"/>
        </w:rPr>
        <w:t xml:space="preserve"> e pós meta compartilhada. Analisadas as características da população, informações do pacote e mortalidade.</w:t>
      </w:r>
      <w:bookmarkStart w:id="0" w:name="_GoBack"/>
      <w:bookmarkEnd w:id="0"/>
    </w:p>
    <w:p w:rsidR="00A2464D" w:rsidRPr="00A2464D" w:rsidRDefault="00A2464D" w:rsidP="00A24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464D">
        <w:rPr>
          <w:rFonts w:ascii="Calibri" w:eastAsia="Times New Roman" w:hAnsi="Calibri" w:cs="Calibri"/>
          <w:b/>
          <w:bCs/>
          <w:color w:val="000000"/>
          <w:lang w:eastAsia="pt-BR"/>
        </w:rPr>
        <w:t>Resultados</w:t>
      </w:r>
    </w:p>
    <w:p w:rsidR="00A2464D" w:rsidRPr="00A2464D" w:rsidRDefault="00A2464D" w:rsidP="00A24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464D">
        <w:rPr>
          <w:rFonts w:ascii="Calibri" w:eastAsia="Times New Roman" w:hAnsi="Calibri" w:cs="Calibri"/>
          <w:color w:val="000000"/>
          <w:lang w:eastAsia="pt-BR"/>
        </w:rPr>
        <w:t xml:space="preserve">Foram 1451 saídas no grupo </w:t>
      </w:r>
      <w:proofErr w:type="spellStart"/>
      <w:r w:rsidRPr="00A2464D">
        <w:rPr>
          <w:rFonts w:ascii="Calibri" w:eastAsia="Times New Roman" w:hAnsi="Calibri" w:cs="Calibri"/>
          <w:color w:val="000000"/>
          <w:lang w:eastAsia="pt-BR"/>
        </w:rPr>
        <w:t>pré</w:t>
      </w:r>
      <w:proofErr w:type="spellEnd"/>
      <w:r w:rsidRPr="00A2464D">
        <w:rPr>
          <w:rFonts w:ascii="Calibri" w:eastAsia="Times New Roman" w:hAnsi="Calibri" w:cs="Calibri"/>
          <w:color w:val="000000"/>
          <w:lang w:eastAsia="pt-BR"/>
        </w:rPr>
        <w:t xml:space="preserve"> e 1835 </w:t>
      </w:r>
      <w:proofErr w:type="gramStart"/>
      <w:r w:rsidRPr="00A2464D">
        <w:rPr>
          <w:rFonts w:ascii="Calibri" w:eastAsia="Times New Roman" w:hAnsi="Calibri" w:cs="Calibri"/>
          <w:color w:val="000000"/>
          <w:lang w:eastAsia="pt-BR"/>
        </w:rPr>
        <w:t>no pós</w:t>
      </w:r>
      <w:proofErr w:type="gramEnd"/>
      <w:r w:rsidRPr="00A2464D">
        <w:rPr>
          <w:rFonts w:ascii="Calibri" w:eastAsia="Times New Roman" w:hAnsi="Calibri" w:cs="Calibri"/>
          <w:color w:val="000000"/>
          <w:lang w:eastAsia="pt-BR"/>
        </w:rPr>
        <w:t>. A média de idade foi de 80,</w:t>
      </w:r>
      <w:proofErr w:type="gramStart"/>
      <w:r w:rsidRPr="00A2464D">
        <w:rPr>
          <w:rFonts w:ascii="Calibri" w:eastAsia="Times New Roman" w:hAnsi="Calibri" w:cs="Calibri"/>
          <w:color w:val="000000"/>
          <w:lang w:eastAsia="pt-BR"/>
        </w:rPr>
        <w:t>2  (</w:t>
      </w:r>
      <w:proofErr w:type="gramEnd"/>
      <w:r w:rsidRPr="00A2464D">
        <w:rPr>
          <w:rFonts w:ascii="Calibri" w:eastAsia="Times New Roman" w:hAnsi="Calibri" w:cs="Calibri"/>
          <w:color w:val="000000"/>
          <w:lang w:eastAsia="pt-BR"/>
        </w:rPr>
        <w:t xml:space="preserve">± 14,9) anos, sendo 789 (54,4%) masculino no </w:t>
      </w:r>
      <w:proofErr w:type="spellStart"/>
      <w:r w:rsidRPr="00A2464D">
        <w:rPr>
          <w:rFonts w:ascii="Calibri" w:eastAsia="Times New Roman" w:hAnsi="Calibri" w:cs="Calibri"/>
          <w:color w:val="000000"/>
          <w:lang w:eastAsia="pt-BR"/>
        </w:rPr>
        <w:t>pré</w:t>
      </w:r>
      <w:proofErr w:type="spellEnd"/>
      <w:r w:rsidRPr="00A2464D">
        <w:rPr>
          <w:rFonts w:ascii="Calibri" w:eastAsia="Times New Roman" w:hAnsi="Calibri" w:cs="Calibri"/>
          <w:color w:val="000000"/>
          <w:lang w:eastAsia="pt-BR"/>
        </w:rPr>
        <w:t xml:space="preserve"> e de 77,7 (± 16,5) anos no pós com 1003 (54,7%) masculino. Quando comparados os dois grupos, a conformidade ao pacote foi 356 (24,5%) no </w:t>
      </w:r>
      <w:proofErr w:type="spellStart"/>
      <w:r w:rsidRPr="00A2464D">
        <w:rPr>
          <w:rFonts w:ascii="Calibri" w:eastAsia="Times New Roman" w:hAnsi="Calibri" w:cs="Calibri"/>
          <w:color w:val="000000"/>
          <w:lang w:eastAsia="pt-BR"/>
        </w:rPr>
        <w:t>pré</w:t>
      </w:r>
      <w:proofErr w:type="spellEnd"/>
      <w:r w:rsidRPr="00A2464D">
        <w:rPr>
          <w:rFonts w:ascii="Calibri" w:eastAsia="Times New Roman" w:hAnsi="Calibri" w:cs="Calibri"/>
          <w:color w:val="000000"/>
          <w:lang w:eastAsia="pt-BR"/>
        </w:rPr>
        <w:t xml:space="preserve"> e 1139 (62,1%) </w:t>
      </w:r>
      <w:proofErr w:type="gramStart"/>
      <w:r w:rsidRPr="00A2464D">
        <w:rPr>
          <w:rFonts w:ascii="Calibri" w:eastAsia="Times New Roman" w:hAnsi="Calibri" w:cs="Calibri"/>
          <w:color w:val="000000"/>
          <w:lang w:eastAsia="pt-BR"/>
        </w:rPr>
        <w:t>no pós</w:t>
      </w:r>
      <w:proofErr w:type="gramEnd"/>
      <w:r w:rsidRPr="00A2464D">
        <w:rPr>
          <w:rFonts w:ascii="Calibri" w:eastAsia="Times New Roman" w:hAnsi="Calibri" w:cs="Calibri"/>
          <w:color w:val="000000"/>
          <w:lang w:eastAsia="pt-BR"/>
        </w:rPr>
        <w:t xml:space="preserve">, com diferença significativa (p&lt;0,001). A diferença também foi significativa (p&lt;0,001), quando itens do pacote foram comparados individualmente, antimicrobiano 966 (66,6%), hemocultura 827 (57%), lactato 662 (45,6%) e expansão 1081 (74,5%) no </w:t>
      </w:r>
      <w:proofErr w:type="spellStart"/>
      <w:r w:rsidRPr="00A2464D">
        <w:rPr>
          <w:rFonts w:ascii="Calibri" w:eastAsia="Times New Roman" w:hAnsi="Calibri" w:cs="Calibri"/>
          <w:color w:val="000000"/>
          <w:lang w:eastAsia="pt-BR"/>
        </w:rPr>
        <w:t>pré</w:t>
      </w:r>
      <w:proofErr w:type="spellEnd"/>
      <w:r w:rsidRPr="00A2464D">
        <w:rPr>
          <w:rFonts w:ascii="Calibri" w:eastAsia="Times New Roman" w:hAnsi="Calibri" w:cs="Calibri"/>
          <w:color w:val="000000"/>
          <w:lang w:eastAsia="pt-BR"/>
        </w:rPr>
        <w:t xml:space="preserve"> e antimicrobiano 1496 (81,6%), hemocultura 1470 (80,1%), lactato 1481 (80,7%) e expansão 1656 (90,2%) </w:t>
      </w:r>
      <w:proofErr w:type="gramStart"/>
      <w:r w:rsidRPr="00A2464D">
        <w:rPr>
          <w:rFonts w:ascii="Calibri" w:eastAsia="Times New Roman" w:hAnsi="Calibri" w:cs="Calibri"/>
          <w:color w:val="000000"/>
          <w:lang w:eastAsia="pt-BR"/>
        </w:rPr>
        <w:t>no pós</w:t>
      </w:r>
      <w:proofErr w:type="gramEnd"/>
      <w:r w:rsidRPr="00A2464D">
        <w:rPr>
          <w:rFonts w:ascii="Calibri" w:eastAsia="Times New Roman" w:hAnsi="Calibri" w:cs="Calibri"/>
          <w:color w:val="000000"/>
          <w:lang w:eastAsia="pt-BR"/>
        </w:rPr>
        <w:t xml:space="preserve">. Ao analisar mortalidade intrahospitalar, no </w:t>
      </w:r>
      <w:proofErr w:type="spellStart"/>
      <w:r w:rsidRPr="00A2464D">
        <w:rPr>
          <w:rFonts w:ascii="Calibri" w:eastAsia="Times New Roman" w:hAnsi="Calibri" w:cs="Calibri"/>
          <w:color w:val="000000"/>
          <w:lang w:eastAsia="pt-BR"/>
        </w:rPr>
        <w:t>pré</w:t>
      </w:r>
      <w:proofErr w:type="spellEnd"/>
      <w:r w:rsidRPr="00A2464D">
        <w:rPr>
          <w:rFonts w:ascii="Calibri" w:eastAsia="Times New Roman" w:hAnsi="Calibri" w:cs="Calibri"/>
          <w:color w:val="000000"/>
          <w:lang w:eastAsia="pt-BR"/>
        </w:rPr>
        <w:t xml:space="preserve"> foi 199 (13,7%) e 158 (8,6%) </w:t>
      </w:r>
      <w:proofErr w:type="gramStart"/>
      <w:r w:rsidRPr="00A2464D">
        <w:rPr>
          <w:rFonts w:ascii="Calibri" w:eastAsia="Times New Roman" w:hAnsi="Calibri" w:cs="Calibri"/>
          <w:color w:val="000000"/>
          <w:lang w:eastAsia="pt-BR"/>
        </w:rPr>
        <w:t>no pós</w:t>
      </w:r>
      <w:proofErr w:type="gramEnd"/>
      <w:r w:rsidRPr="00A2464D">
        <w:rPr>
          <w:rFonts w:ascii="Calibri" w:eastAsia="Times New Roman" w:hAnsi="Calibri" w:cs="Calibri"/>
          <w:color w:val="000000"/>
          <w:lang w:eastAsia="pt-BR"/>
        </w:rPr>
        <w:t>, com diferença significativa (p&lt;0,001).</w:t>
      </w:r>
    </w:p>
    <w:p w:rsidR="00A2464D" w:rsidRPr="00A2464D" w:rsidRDefault="00A2464D" w:rsidP="00A24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464D">
        <w:rPr>
          <w:rFonts w:ascii="Calibri" w:eastAsia="Times New Roman" w:hAnsi="Calibri" w:cs="Calibri"/>
          <w:color w:val="000000"/>
          <w:lang w:eastAsia="pt-BR"/>
        </w:rPr>
        <w:t>Conclusão</w:t>
      </w:r>
    </w:p>
    <w:p w:rsidR="00A2464D" w:rsidRPr="00A2464D" w:rsidRDefault="00A2464D" w:rsidP="00A24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464D">
        <w:rPr>
          <w:rFonts w:ascii="Calibri" w:eastAsia="Times New Roman" w:hAnsi="Calibri" w:cs="Calibri"/>
          <w:color w:val="000000"/>
          <w:lang w:eastAsia="pt-BR"/>
        </w:rPr>
        <w:t>Após definição de meta compartilhada com a equipe multiprofissional, ações proporcionaram o aumento da taxa de conformidade no pacote de primeira hora de 24,5% para 62,1% com redução da mortalidade de 13,7% para 8,6%. Nesta população estudada o aumento da taxa de conformidade do pacote demonstrou uma redução significativa na taxa de mortalidade intrahospitalar.</w:t>
      </w:r>
    </w:p>
    <w:p w:rsidR="00BF584A" w:rsidRDefault="00BF584A"/>
    <w:sectPr w:rsidR="00BF58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64D"/>
    <w:rsid w:val="00A2464D"/>
    <w:rsid w:val="00BF584A"/>
    <w:rsid w:val="00F3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9C972F-45B9-468B-8618-8AD3F75A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4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5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Moraes Pinto</dc:creator>
  <cp:keywords/>
  <dc:description/>
  <cp:lastModifiedBy>Michele Moraes Pinto</cp:lastModifiedBy>
  <cp:revision>2</cp:revision>
  <dcterms:created xsi:type="dcterms:W3CDTF">2025-04-02T20:25:00Z</dcterms:created>
  <dcterms:modified xsi:type="dcterms:W3CDTF">2025-04-02T20:27:00Z</dcterms:modified>
</cp:coreProperties>
</file>