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9DA" w:rsidRDefault="00E479DA" w:rsidP="00B37768">
      <w:pPr>
        <w:pStyle w:val="p1"/>
        <w:rPr>
          <w:rFonts w:ascii="Times New Roman" w:hAnsi="Times New Roman" w:cs="Times New Roman"/>
        </w:rPr>
      </w:pPr>
    </w:p>
    <w:p w:rsidR="00B37768" w:rsidRDefault="00B37768" w:rsidP="00E35C46">
      <w:pPr>
        <w:spacing w:before="100" w:beforeAutospacing="1" w:after="100" w:afterAutospacing="1"/>
        <w:jc w:val="center"/>
        <w:rPr>
          <w:b/>
          <w:bCs/>
        </w:rPr>
      </w:pPr>
      <w:r w:rsidRPr="00B37768">
        <w:rPr>
          <w:b/>
          <w:bCs/>
        </w:rPr>
        <w:t>O Papel do Ácido Mefenâmico e da Sinalização Mitocondrial na Neuroinflamação e Cognição em Ratos Sobreviventes à Sepse</w:t>
      </w:r>
    </w:p>
    <w:p w:rsidR="00F04E7D" w:rsidRPr="00F04E7D" w:rsidRDefault="00F04E7D" w:rsidP="00F04E7D">
      <w:pPr>
        <w:pStyle w:val="p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4E7D">
        <w:rPr>
          <w:rFonts w:ascii="Times New Roman" w:hAnsi="Times New Roman" w:cs="Times New Roman"/>
          <w:b/>
          <w:bCs/>
          <w:color w:val="auto"/>
          <w:sz w:val="24"/>
          <w:szCs w:val="24"/>
        </w:rPr>
        <w:t>Autores:</w:t>
      </w:r>
      <w:r w:rsidRPr="00F04E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DAF">
        <w:rPr>
          <w:rFonts w:ascii="Times New Roman" w:hAnsi="Times New Roman" w:cs="Times New Roman"/>
          <w:color w:val="auto"/>
          <w:sz w:val="24"/>
          <w:szCs w:val="24"/>
          <w:u w:val="single"/>
        </w:rPr>
        <w:t>Andriele Gonçalves Marcon</w:t>
      </w:r>
      <w:r w:rsidR="00214903" w:rsidRPr="00F04E7D">
        <w:rPr>
          <w:rFonts w:ascii="Times New Roman" w:hAnsi="Times New Roman" w:cs="Times New Roman"/>
          <w:color w:val="auto"/>
          <w:sz w:val="24"/>
          <w:szCs w:val="24"/>
        </w:rPr>
        <w:t>¹,</w:t>
      </w:r>
      <w:r w:rsidRPr="00F04E7D">
        <w:rPr>
          <w:rFonts w:ascii="Times New Roman" w:hAnsi="Times New Roman" w:cs="Times New Roman"/>
          <w:color w:val="auto"/>
          <w:sz w:val="24"/>
          <w:szCs w:val="24"/>
        </w:rPr>
        <w:t xml:space="preserve"> Diogo Dominguini</w:t>
      </w:r>
      <w:r w:rsidR="00214903" w:rsidRPr="00F04E7D">
        <w:rPr>
          <w:rFonts w:ascii="Times New Roman" w:hAnsi="Times New Roman" w:cs="Times New Roman"/>
          <w:color w:val="auto"/>
          <w:sz w:val="24"/>
          <w:szCs w:val="24"/>
        </w:rPr>
        <w:t>¹,</w:t>
      </w:r>
      <w:r w:rsidRPr="00F04E7D">
        <w:rPr>
          <w:rFonts w:ascii="Times New Roman" w:hAnsi="Times New Roman" w:cs="Times New Roman"/>
          <w:color w:val="auto"/>
          <w:sz w:val="24"/>
          <w:szCs w:val="24"/>
        </w:rPr>
        <w:t xml:space="preserve"> Daniel Paulo Bortoluzzi</w:t>
      </w:r>
      <w:r w:rsidR="00214903" w:rsidRPr="00F04E7D">
        <w:rPr>
          <w:rFonts w:ascii="Times New Roman" w:hAnsi="Times New Roman" w:cs="Times New Roman"/>
          <w:color w:val="auto"/>
          <w:sz w:val="24"/>
          <w:szCs w:val="24"/>
        </w:rPr>
        <w:t>¹,</w:t>
      </w:r>
      <w:r w:rsidRPr="00F04E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1DAF" w:rsidRPr="00F04E7D">
        <w:rPr>
          <w:rFonts w:ascii="Times New Roman" w:hAnsi="Times New Roman" w:cs="Times New Roman"/>
          <w:color w:val="auto"/>
          <w:sz w:val="24"/>
          <w:szCs w:val="24"/>
        </w:rPr>
        <w:t>Carlos Henrique Silva Galant</w:t>
      </w:r>
      <w:r w:rsidR="00214903" w:rsidRPr="00F04E7D">
        <w:rPr>
          <w:rFonts w:ascii="Times New Roman" w:hAnsi="Times New Roman" w:cs="Times New Roman"/>
          <w:color w:val="auto"/>
          <w:sz w:val="24"/>
          <w:szCs w:val="24"/>
        </w:rPr>
        <w:t>¹,</w:t>
      </w:r>
      <w:r w:rsidR="00921DAF" w:rsidRPr="00F04E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4E7D">
        <w:rPr>
          <w:rFonts w:ascii="Times New Roman" w:hAnsi="Times New Roman" w:cs="Times New Roman"/>
          <w:color w:val="auto"/>
          <w:sz w:val="24"/>
          <w:szCs w:val="24"/>
        </w:rPr>
        <w:t>Cristiane Ritter</w:t>
      </w:r>
      <w:r w:rsidR="00E35C46" w:rsidRPr="00F04E7D">
        <w:rPr>
          <w:rFonts w:ascii="Times New Roman" w:hAnsi="Times New Roman" w:cs="Times New Roman"/>
          <w:color w:val="auto"/>
          <w:sz w:val="24"/>
          <w:szCs w:val="24"/>
        </w:rPr>
        <w:t>¹,</w:t>
      </w:r>
      <w:r w:rsidR="00E35C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4E7D">
        <w:rPr>
          <w:rFonts w:ascii="Times New Roman" w:hAnsi="Times New Roman" w:cs="Times New Roman"/>
          <w:color w:val="auto"/>
          <w:sz w:val="24"/>
          <w:szCs w:val="24"/>
        </w:rPr>
        <w:t>Felipe Dal Pizzol</w:t>
      </w:r>
      <w:r w:rsidR="00E35C46" w:rsidRPr="00F04E7D">
        <w:rPr>
          <w:rFonts w:ascii="Times New Roman" w:hAnsi="Times New Roman" w:cs="Times New Roman"/>
          <w:color w:val="auto"/>
          <w:sz w:val="24"/>
          <w:szCs w:val="24"/>
        </w:rPr>
        <w:t>¹</w:t>
      </w:r>
      <w:r w:rsidR="00E35C4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04E7D" w:rsidRPr="00F04E7D" w:rsidRDefault="00F04E7D" w:rsidP="00F04E7D">
      <w:pPr>
        <w:pStyle w:val="p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04E7D" w:rsidRPr="00F04E7D" w:rsidRDefault="00F04E7D" w:rsidP="00F04E7D">
      <w:pPr>
        <w:pStyle w:val="p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04E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Afiliação: </w:t>
      </w:r>
    </w:p>
    <w:p w:rsidR="00D32800" w:rsidRDefault="00F04E7D" w:rsidP="00072723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04E7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1 - Laboratório de Fisiopatologia Experimental, Programa de Pós Graduação em Ciências da Saúde, Universidade do Extremo Sul Catarinense - UNESC - Criciúma (SC), Brasil.</w:t>
      </w:r>
    </w:p>
    <w:p w:rsidR="00072723" w:rsidRPr="00072723" w:rsidRDefault="00072723" w:rsidP="00072723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E479DA" w:rsidRPr="00E479DA" w:rsidRDefault="00E479DA" w:rsidP="00F04E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79D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Introdução:</w:t>
      </w:r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sepse é uma condição de alta mortalidade caracterizada por uma resposta inflamatória exacerbada e alterações hemodinâmicas, resultando em danos multiorgânicos. Na neurociência, seu impacto no sistema nervoso central é particularmente notável, incluindo déficits cognitivos associados ao aumento de espécies reativas de oxigênio (ERO), danos oxidativos e acúmulo de 8-oxoguanina (8-oxoG) no DNA mitocondrial (mtDNA). Esses processos contribuem para a disfunção celular e deposição de β-amiloide (βA), levando a déficits de memória. A proteção mitocondrial é crucial para preservar a função neuronal em condições sépticas.</w:t>
      </w:r>
      <w:r w:rsidR="0042329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E479D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Objetivos:</w:t>
      </w:r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Avaliar os efeitos do tratamento com ácido mefenâmico (MFA), um modulador do inflamassoma NLRP3, na redução de parâmetros inflamat</w:t>
      </w:r>
      <w:r w:rsidRPr="00E479DA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órios, danos mitocondriais e déficits cognitivos em ratos submetidos à sepse induzida pelo modelo de </w:t>
      </w:r>
      <w:r w:rsidR="00B04121" w:rsidRPr="00B04121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ligação e perfuração </w:t>
      </w:r>
      <w:proofErr w:type="spellStart"/>
      <w:r w:rsidRPr="00E479DA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cecal</w:t>
      </w:r>
      <w:proofErr w:type="spellEnd"/>
      <w:r w:rsidRPr="00E479DA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(CLP).</w:t>
      </w:r>
      <w:r w:rsidR="0042329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E479D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Métodos:</w:t>
      </w:r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Ratos </w:t>
      </w:r>
      <w:proofErr w:type="spellStart"/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Wistar</w:t>
      </w:r>
      <w:proofErr w:type="spellEnd"/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machos (60 dias de idade) foram submetidos ao modelo CLP para induzir sepse. Após o procedimento, os animais receberam injeções intraperitoneais diárias de MFA (10, 30 ou 50 mg/kg/dia) ou solução salina (1 ml/kg/dia) por 15 dias. Ao final do tratamento, testes comportamentais foram realizados para avaliar memória e cognição. Após a eutanásia, o córtex frontal e o hipocampo foram analisados quanto aos níveis de citocinas pró-inflamatórias (IL-1β, IL-18), produção de ERO (DCF-DA) e expressão de proteínas (TFAM, NRF, NLRP3, 8-oxoG e βA).</w:t>
      </w:r>
      <w:r w:rsidRPr="00E479D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Resultados:</w:t>
      </w:r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grupo séptico apresentou níveis elevados de citocinas inflamatórias, ERO e danos ao mtDNA, juntamente com uma redução em TFAM e NGF-1. O MFA (50 mg/kg/dia) reduziu significativamente a atividade do inflamassoma, os níveis de citocinas, ERO e 8-oxoG, enquanto aprimorou os mecanismos de biogênese mitocondrial.</w:t>
      </w:r>
      <w:r w:rsidR="00B0412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Foi observada uma redução em βA, preservando a cognição.</w:t>
      </w:r>
      <w:r w:rsidR="0042329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E479D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Conclusão:</w:t>
      </w:r>
      <w:r w:rsidRPr="00E479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tratamento com MFA demonstrou um efeito neuroprotetor em modelos de sepse, reduzindo a inflamação, danos oxidativos e déficits cognitivos. Essas descobertas sugerem o potencial terapêutico do MFA na proteção neuronal em condições sépticas, destacando a importância da modulação mitocondrial na preservação da função cerebral.</w:t>
      </w:r>
    </w:p>
    <w:p w:rsidR="00CB1F27" w:rsidRDefault="00CB1F27" w:rsidP="00F04E7D">
      <w:pPr>
        <w:jc w:val="both"/>
      </w:pPr>
    </w:p>
    <w:sectPr w:rsidR="00CB1F27" w:rsidSect="00EF0E9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BB9"/>
    <w:multiLevelType w:val="multilevel"/>
    <w:tmpl w:val="834A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1652A"/>
    <w:multiLevelType w:val="multilevel"/>
    <w:tmpl w:val="830E3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420EA"/>
    <w:multiLevelType w:val="multilevel"/>
    <w:tmpl w:val="CD9A2A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926FB"/>
    <w:multiLevelType w:val="multilevel"/>
    <w:tmpl w:val="42284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F0931"/>
    <w:multiLevelType w:val="multilevel"/>
    <w:tmpl w:val="A316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942807">
    <w:abstractNumId w:val="4"/>
  </w:num>
  <w:num w:numId="2" w16cid:durableId="1913348888">
    <w:abstractNumId w:val="3"/>
  </w:num>
  <w:num w:numId="3" w16cid:durableId="1175614224">
    <w:abstractNumId w:val="0"/>
  </w:num>
  <w:num w:numId="4" w16cid:durableId="1014380815">
    <w:abstractNumId w:val="1"/>
  </w:num>
  <w:num w:numId="5" w16cid:durableId="167818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DA"/>
    <w:rsid w:val="00072723"/>
    <w:rsid w:val="00085FA9"/>
    <w:rsid w:val="00214903"/>
    <w:rsid w:val="00423291"/>
    <w:rsid w:val="004F4E89"/>
    <w:rsid w:val="00557376"/>
    <w:rsid w:val="0060575A"/>
    <w:rsid w:val="00921DAF"/>
    <w:rsid w:val="00B04121"/>
    <w:rsid w:val="00B37768"/>
    <w:rsid w:val="00CB1F27"/>
    <w:rsid w:val="00D32800"/>
    <w:rsid w:val="00E35C46"/>
    <w:rsid w:val="00E479DA"/>
    <w:rsid w:val="00EF0E9F"/>
    <w:rsid w:val="00F0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893BB"/>
  <w15:chartTrackingRefBased/>
  <w15:docId w15:val="{EA798924-97F6-2B4B-8EE2-78E0103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479D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479DA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79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479DA"/>
    <w:rPr>
      <w:b/>
      <w:bCs/>
    </w:rPr>
  </w:style>
  <w:style w:type="paragraph" w:customStyle="1" w:styleId="p1">
    <w:name w:val="p1"/>
    <w:basedOn w:val="Normal"/>
    <w:rsid w:val="00B37768"/>
    <w:rPr>
      <w:rFonts w:ascii="Arial" w:eastAsia="Times New Roman" w:hAnsi="Arial" w:cs="Arial"/>
      <w:color w:val="000000"/>
      <w:kern w:val="0"/>
      <w:sz w:val="17"/>
      <w:szCs w:val="1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2025-04-02T16:19:00Z</dcterms:created>
  <dcterms:modified xsi:type="dcterms:W3CDTF">2025-04-04T17:46:00Z</dcterms:modified>
</cp:coreProperties>
</file>